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spacing w:line="640" w:lineRule="exact"/>
        <w:textAlignment w:val="baseline"/>
        <w:rPr>
          <w:rFonts w:hint="default" w:ascii="黑体" w:hAnsi="黑体" w:eastAsia="黑体" w:cs="黑体"/>
          <w:color w:val="000000" w:themeColor="text1"/>
          <w:sz w:val="32"/>
          <w14:textFill>
            <w14:solidFill>
              <w14:schemeClr w14:val="tx1"/>
            </w14:solidFill>
          </w14:textFill>
        </w:rPr>
      </w:pPr>
      <w:r>
        <w:rPr>
          <w:rFonts w:hint="eastAsia" w:ascii="黑体" w:hAnsi="黑体" w:eastAsia="黑体" w:cs="黑体"/>
          <w:color w:val="000000" w:themeColor="text1"/>
          <w:sz w:val="32"/>
          <w14:textFill>
            <w14:solidFill>
              <w14:schemeClr w14:val="tx1"/>
            </w14:solidFill>
          </w14:textFill>
        </w:rPr>
        <w:t>附件</w:t>
      </w:r>
      <w:r>
        <w:rPr>
          <w:rFonts w:hint="default" w:ascii="黑体" w:hAnsi="黑体" w:eastAsia="黑体" w:cs="黑体"/>
          <w:color w:val="000000" w:themeColor="text1"/>
          <w:sz w:val="32"/>
          <w14:textFill>
            <w14:solidFill>
              <w14:schemeClr w14:val="tx1"/>
            </w14:solidFill>
          </w14:textFill>
        </w:rPr>
        <w:t>2</w:t>
      </w:r>
    </w:p>
    <w:p>
      <w:pPr>
        <w:keepNext w:val="0"/>
        <w:keepLines w:val="0"/>
        <w:pageBreakBefore w:val="0"/>
        <w:widowControl w:val="0"/>
        <w:kinsoku/>
        <w:wordWrap/>
        <w:overflowPunct/>
        <w:topLinePunct w:val="0"/>
        <w:autoSpaceDE/>
        <w:autoSpaceDN/>
        <w:bidi w:val="0"/>
        <w:adjustRightInd w:val="0"/>
        <w:snapToGrid/>
        <w:spacing w:line="640" w:lineRule="exact"/>
        <w:textAlignment w:val="baseline"/>
        <w:rPr>
          <w:rFonts w:ascii="黑体" w:hAnsi="黑体" w:eastAsia="黑体" w:cs="黑体"/>
          <w:color w:val="000000" w:themeColor="text1"/>
          <w:sz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spacing w:line="640" w:lineRule="exact"/>
        <w:jc w:val="center"/>
        <w:textAlignment w:val="baseline"/>
        <w:rPr>
          <w:rFonts w:hint="eastAsia" w:ascii="方正小标宋简体" w:hAnsi="方正小标宋简体" w:eastAsia="方正小标宋简体" w:cs="方正小标宋简体"/>
          <w:color w:val="000000" w:themeColor="text1"/>
          <w:spacing w:val="-1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pacing w:val="-20"/>
          <w:sz w:val="36"/>
          <w:szCs w:val="36"/>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spacing w:val="-11"/>
          <w:sz w:val="36"/>
          <w:szCs w:val="36"/>
          <w:lang w:eastAsia="zh-CN"/>
          <w14:textFill>
            <w14:solidFill>
              <w14:schemeClr w14:val="tx1"/>
            </w14:solidFill>
          </w14:textFill>
        </w:rPr>
        <w:t>2023</w:t>
      </w:r>
      <w:r>
        <w:rPr>
          <w:rFonts w:hint="eastAsia" w:ascii="方正小标宋简体" w:hAnsi="方正小标宋简体" w:eastAsia="方正小标宋简体" w:cs="方正小标宋简体"/>
          <w:color w:val="000000" w:themeColor="text1"/>
          <w:spacing w:val="-11"/>
          <w:sz w:val="36"/>
          <w:szCs w:val="36"/>
          <w14:textFill>
            <w14:solidFill>
              <w14:schemeClr w14:val="tx1"/>
            </w14:solidFill>
          </w14:textFill>
        </w:rPr>
        <w:t>山东企业100强、工业企业100强申报表填表说明</w:t>
      </w:r>
    </w:p>
    <w:p>
      <w:pPr>
        <w:keepNext w:val="0"/>
        <w:keepLines w:val="0"/>
        <w:pageBreakBefore w:val="0"/>
        <w:widowControl w:val="0"/>
        <w:kinsoku/>
        <w:wordWrap/>
        <w:overflowPunct/>
        <w:topLinePunct w:val="0"/>
        <w:autoSpaceDE/>
        <w:autoSpaceDN/>
        <w:bidi w:val="0"/>
        <w:adjustRightInd w:val="0"/>
        <w:snapToGrid/>
        <w:spacing w:line="640" w:lineRule="exact"/>
        <w:jc w:val="center"/>
        <w:textAlignment w:val="baseline"/>
        <w:rPr>
          <w:rFonts w:ascii="华文中宋" w:hAnsi="华文中宋" w:eastAsia="华文中宋"/>
          <w:b/>
          <w:color w:val="000000" w:themeColor="text1"/>
          <w:sz w:val="36"/>
          <w:szCs w:val="20"/>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lang w:eastAsia="zh-CN"/>
        </w:rPr>
        <w:t>2023</w:t>
      </w:r>
      <w:r>
        <w:rPr>
          <w:rFonts w:hint="eastAsia" w:ascii="仿宋_GB2312" w:hAnsi="仿宋" w:eastAsia="仿宋_GB2312"/>
          <w:sz w:val="32"/>
          <w:szCs w:val="32"/>
        </w:rPr>
        <w:t>山东企业100强、工业企业100强申报表主要栏目填报说明如下：</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一、企业性质栏：请从“国有”“民营”两种性质中选一项打√。国有是指国有及国有控股企业,民营是指非国有企业，包括集体和私营企业等。</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二、生产的产品或提供的服务栏：指企业生产的主要产品或提供的主要服务，按在营业收入的占比由大到小排列，最多不超过3项。(必须填写)</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三、指标栏：所有指标均按企业合并财务报表的数据填报，金额单位：万元人民币。合并财务报表的合并范围应当以控制为基础予以确定。</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营业收入：包括企业的所有收入</w:t>
      </w:r>
      <w:r>
        <w:rPr>
          <w:rFonts w:hint="eastAsia" w:ascii="仿宋_GB2312" w:hAnsi="仿宋" w:eastAsia="仿宋_GB2312"/>
          <w:sz w:val="32"/>
          <w:szCs w:val="32"/>
          <w:lang w:eastAsia="zh-CN"/>
        </w:rPr>
        <w:t>（</w:t>
      </w:r>
      <w:r>
        <w:rPr>
          <w:rFonts w:hint="eastAsia" w:ascii="仿宋_GB2312" w:hAnsi="仿宋" w:eastAsia="仿宋_GB2312"/>
          <w:sz w:val="32"/>
          <w:szCs w:val="32"/>
        </w:rPr>
        <w:t>不含增值税</w:t>
      </w:r>
      <w:r>
        <w:rPr>
          <w:rFonts w:hint="eastAsia" w:ascii="仿宋_GB2312" w:hAnsi="仿宋" w:eastAsia="仿宋_GB2312"/>
          <w:sz w:val="32"/>
          <w:szCs w:val="32"/>
          <w:lang w:eastAsia="zh-CN"/>
        </w:rPr>
        <w:t>）</w:t>
      </w:r>
      <w:r>
        <w:rPr>
          <w:rFonts w:hint="eastAsia" w:ascii="仿宋_GB2312" w:hAnsi="仿宋" w:eastAsia="仿宋_GB2312"/>
          <w:sz w:val="32"/>
          <w:szCs w:val="32"/>
        </w:rPr>
        <w:t>，即主营业务和非主营业务、境内和境外的收入。不含非连续性经营活动及石油、酒类的代征消费税收入。商业银行的营业收入为利息收入与非利息营业收入之和(不扣减对应的支出)。保险公司的营业收入是保险费和年金收入扣除储蓄的资本收益或损失。</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利润总额：所得税税前的利润。</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净利润：利润总额扣除所得税。</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归属母公司所有者净利润：净利润扣除少数股东损益。</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资产总额：年末的资产总额。</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所有者权益：年末的所有者权益总额。</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归属母公司所有者权益：所有者权益扣除少数股东权益。</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纳税总额：在中国大陆境内实际缴纳的税收总额，包括增值税、消费税、营业税、企业所得税以及其他各税种税收，不包括本企业（集团）代扣代缴其他企业或个人的各种税收，也不包括教育费附加、文化事业建设费等各项非税收费用。</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研发费用：指企业研究开发新产品、新技术、新工艺所发生的各项费用，包括新产品设计费、工艺规程制定费、设备调整费、原材料和半成品的实验费、技术图书资料费、研究机构人员的工资、研究设备的折旧、新产品的试制、技术研究有关的其他经费以及委托其他单位进行科研试制的费用。</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rPr>
        <w:t>员工总数：年度平均从业人数（含所有被合并报表企业的人数）。</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hint="eastAsia" w:ascii="仿宋_GB2312" w:hAnsi="仿宋" w:eastAsia="仿宋_GB2312"/>
          <w:sz w:val="32"/>
          <w:szCs w:val="32"/>
        </w:rPr>
      </w:pPr>
      <w:r>
        <w:rPr>
          <w:rFonts w:hint="eastAsia" w:ascii="仿宋_GB2312" w:hAnsi="仿宋" w:eastAsia="仿宋_GB2312"/>
          <w:sz w:val="32"/>
          <w:szCs w:val="32"/>
        </w:rPr>
        <w:t>海外收入、海外资产、海外员工是指企业在中国大陆以外的营业收入、资产、员工。海外收入以平均汇率折算,海外资产以年底汇率折算。平均汇率：</w:t>
      </w:r>
      <w:r>
        <w:rPr>
          <w:rFonts w:hint="eastAsia" w:ascii="仿宋_GB2312" w:hAnsi="仿宋" w:eastAsia="仿宋_GB2312"/>
          <w:sz w:val="32"/>
          <w:szCs w:val="32"/>
          <w:lang w:eastAsia="zh-CN"/>
        </w:rPr>
        <w:t>2021</w:t>
      </w:r>
      <w:r>
        <w:rPr>
          <w:rFonts w:hint="eastAsia" w:ascii="仿宋_GB2312" w:hAnsi="仿宋" w:eastAsia="仿宋_GB2312"/>
          <w:sz w:val="32"/>
          <w:szCs w:val="32"/>
        </w:rPr>
        <w:t>年为1美元=6.4476元人民币，202</w:t>
      </w:r>
      <w:r>
        <w:rPr>
          <w:rFonts w:hint="eastAsia" w:ascii="仿宋_GB2312" w:hAnsi="仿宋" w:eastAsia="仿宋_GB2312"/>
          <w:sz w:val="32"/>
          <w:szCs w:val="32"/>
          <w:lang w:val="en-US" w:eastAsia="zh-CN"/>
        </w:rPr>
        <w:t>2</w:t>
      </w:r>
      <w:r>
        <w:rPr>
          <w:rFonts w:hint="eastAsia" w:ascii="仿宋_GB2312" w:hAnsi="仿宋" w:eastAsia="仿宋_GB2312"/>
          <w:sz w:val="32"/>
          <w:szCs w:val="32"/>
        </w:rPr>
        <w:t>年为1美元=6.</w:t>
      </w:r>
      <w:r>
        <w:rPr>
          <w:rFonts w:hint="eastAsia" w:ascii="仿宋_GB2312" w:hAnsi="仿宋" w:eastAsia="仿宋_GB2312"/>
          <w:sz w:val="32"/>
          <w:szCs w:val="32"/>
          <w:lang w:val="en-US" w:eastAsia="zh-CN"/>
        </w:rPr>
        <w:t>7144</w:t>
      </w:r>
      <w:r>
        <w:rPr>
          <w:rFonts w:hint="eastAsia" w:ascii="仿宋_GB2312" w:hAnsi="仿宋" w:eastAsia="仿宋_GB2312"/>
          <w:sz w:val="32"/>
          <w:szCs w:val="32"/>
        </w:rPr>
        <w:t xml:space="preserve">元人民币；海外资产以年底汇率折算，年底汇率: </w:t>
      </w:r>
      <w:r>
        <w:rPr>
          <w:rFonts w:hint="eastAsia" w:ascii="仿宋_GB2312" w:hAnsi="仿宋" w:eastAsia="仿宋_GB2312"/>
          <w:sz w:val="32"/>
          <w:szCs w:val="32"/>
          <w:lang w:eastAsia="zh-CN"/>
        </w:rPr>
        <w:t>2021</w:t>
      </w:r>
      <w:r>
        <w:rPr>
          <w:rFonts w:hint="eastAsia" w:ascii="仿宋_GB2312" w:hAnsi="仿宋" w:eastAsia="仿宋_GB2312"/>
          <w:sz w:val="32"/>
          <w:szCs w:val="32"/>
        </w:rPr>
        <w:t>年为1美元=6.3757元人民币，202</w:t>
      </w:r>
      <w:r>
        <w:rPr>
          <w:rFonts w:hint="eastAsia" w:ascii="仿宋_GB2312" w:hAnsi="仿宋" w:eastAsia="仿宋_GB2312"/>
          <w:sz w:val="32"/>
          <w:szCs w:val="32"/>
          <w:lang w:val="en-US" w:eastAsia="zh-CN"/>
        </w:rPr>
        <w:t>2</w:t>
      </w:r>
      <w:r>
        <w:rPr>
          <w:rFonts w:hint="eastAsia" w:ascii="仿宋_GB2312" w:hAnsi="仿宋" w:eastAsia="仿宋_GB2312"/>
          <w:sz w:val="32"/>
          <w:szCs w:val="32"/>
        </w:rPr>
        <w:t>年为1美元=6.</w:t>
      </w:r>
      <w:r>
        <w:rPr>
          <w:rFonts w:hint="eastAsia" w:ascii="仿宋_GB2312" w:hAnsi="仿宋" w:eastAsia="仿宋_GB2312"/>
          <w:sz w:val="32"/>
          <w:szCs w:val="32"/>
          <w:lang w:val="en-US" w:eastAsia="zh-CN"/>
        </w:rPr>
        <w:t>9646</w:t>
      </w:r>
      <w:r>
        <w:rPr>
          <w:rFonts w:hint="eastAsia" w:ascii="仿宋_GB2312" w:hAnsi="仿宋" w:eastAsia="仿宋_GB2312"/>
          <w:sz w:val="32"/>
          <w:szCs w:val="32"/>
        </w:rPr>
        <w:t>元人民币。</w:t>
      </w:r>
    </w:p>
    <w:p>
      <w:pPr>
        <w:keepNext w:val="0"/>
        <w:keepLines w:val="0"/>
        <w:pageBreakBefore w:val="0"/>
        <w:widowControl w:val="0"/>
        <w:numPr>
          <w:ilvl w:val="0"/>
          <w:numId w:val="1"/>
        </w:numPr>
        <w:kinsoku/>
        <w:wordWrap/>
        <w:overflowPunct/>
        <w:topLinePunct w:val="0"/>
        <w:autoSpaceDE/>
        <w:autoSpaceDN/>
        <w:bidi w:val="0"/>
        <w:adjustRightInd w:val="0"/>
        <w:snapToGrid/>
        <w:spacing w:line="640" w:lineRule="exact"/>
        <w:ind w:right="-87" w:firstLine="640" w:firstLineChars="200"/>
        <w:textAlignment w:val="baseline"/>
        <w:rPr>
          <w:rFonts w:hint="eastAsia" w:ascii="仿宋_GB2312" w:hAnsi="仿宋" w:eastAsia="仿宋_GB2312"/>
          <w:sz w:val="32"/>
          <w:szCs w:val="32"/>
        </w:rPr>
      </w:pPr>
      <w:r>
        <w:rPr>
          <w:rFonts w:hint="eastAsia" w:ascii="仿宋_GB2312" w:hAnsi="仿宋" w:eastAsia="仿宋_GB2312"/>
          <w:sz w:val="32"/>
          <w:szCs w:val="32"/>
        </w:rPr>
        <w:t>战略性新兴产业的行业分类代码如下：1、新一代信息技术产业；2、高端装备制造产业；3、新材料产业；4、生物产业；5、新能源汽车产业；6、新能源产业；7、节能环保产业；8、数字创意产业；9、相关服务业。</w:t>
      </w:r>
    </w:p>
    <w:p>
      <w:pPr>
        <w:keepNext w:val="0"/>
        <w:keepLines w:val="0"/>
        <w:pageBreakBefore w:val="0"/>
        <w:widowControl w:val="0"/>
        <w:numPr>
          <w:ilvl w:val="0"/>
          <w:numId w:val="1"/>
        </w:numPr>
        <w:kinsoku/>
        <w:wordWrap/>
        <w:overflowPunct/>
        <w:topLinePunct w:val="0"/>
        <w:autoSpaceDE/>
        <w:autoSpaceDN/>
        <w:bidi w:val="0"/>
        <w:adjustRightInd w:val="0"/>
        <w:snapToGrid/>
        <w:spacing w:line="640" w:lineRule="exact"/>
        <w:ind w:right="-87" w:firstLine="640" w:firstLineChars="200"/>
        <w:textAlignment w:val="baseline"/>
        <w:rPr>
          <w:rFonts w:hint="eastAsia" w:ascii="仿宋_GB2312" w:hAnsi="仿宋" w:eastAsia="仿宋_GB2312" w:cs="Times New Roman"/>
          <w:sz w:val="32"/>
          <w:szCs w:val="32"/>
        </w:rPr>
      </w:pPr>
      <w:r>
        <w:rPr>
          <w:rFonts w:hint="eastAsia" w:ascii="仿宋_GB2312" w:hAnsi="仿宋" w:eastAsia="仿宋_GB2312"/>
          <w:sz w:val="32"/>
          <w:szCs w:val="32"/>
          <w:lang w:eastAsia="zh-CN"/>
        </w:rPr>
        <w:t>十强产业的行业分类代码为：</w:t>
      </w:r>
      <w:r>
        <w:rPr>
          <w:rFonts w:hint="eastAsia" w:ascii="仿宋_GB2312" w:hAnsi="仿宋" w:eastAsia="仿宋_GB2312"/>
          <w:sz w:val="32"/>
          <w:szCs w:val="32"/>
          <w:lang w:val="en-US" w:eastAsia="zh-CN"/>
        </w:rPr>
        <w:t>A、</w:t>
      </w:r>
      <w:r>
        <w:rPr>
          <w:rFonts w:hint="eastAsia" w:ascii="仿宋_GB2312" w:hAnsi="仿宋" w:eastAsia="仿宋_GB2312" w:cs="Times New Roman"/>
          <w:sz w:val="32"/>
          <w:szCs w:val="32"/>
          <w:lang w:eastAsia="zh-CN"/>
        </w:rPr>
        <w:t>新一代信息技术；</w:t>
      </w:r>
      <w:r>
        <w:rPr>
          <w:rFonts w:hint="eastAsia" w:ascii="仿宋_GB2312" w:hAnsi="仿宋" w:eastAsia="仿宋_GB2312" w:cs="Times New Roman"/>
          <w:sz w:val="32"/>
          <w:szCs w:val="32"/>
          <w:lang w:val="en-US" w:eastAsia="zh-CN"/>
        </w:rPr>
        <w:t>B、</w:t>
      </w:r>
      <w:r>
        <w:rPr>
          <w:rFonts w:hint="eastAsia" w:ascii="仿宋_GB2312" w:hAnsi="仿宋" w:eastAsia="仿宋_GB2312" w:cs="Times New Roman"/>
          <w:sz w:val="32"/>
          <w:szCs w:val="32"/>
          <w:lang w:eastAsia="zh-CN"/>
        </w:rPr>
        <w:t>高端装备；</w:t>
      </w:r>
      <w:r>
        <w:rPr>
          <w:rFonts w:hint="eastAsia" w:ascii="仿宋_GB2312" w:hAnsi="仿宋" w:eastAsia="仿宋_GB2312" w:cs="Times New Roman"/>
          <w:sz w:val="32"/>
          <w:szCs w:val="32"/>
          <w:lang w:val="en-US" w:eastAsia="zh-CN"/>
        </w:rPr>
        <w:t>C、</w:t>
      </w:r>
      <w:r>
        <w:rPr>
          <w:rFonts w:hint="eastAsia" w:ascii="仿宋_GB2312" w:hAnsi="仿宋" w:eastAsia="仿宋_GB2312" w:cs="Times New Roman"/>
          <w:sz w:val="32"/>
          <w:szCs w:val="32"/>
          <w:lang w:eastAsia="zh-CN"/>
        </w:rPr>
        <w:t>新能源新材料；</w:t>
      </w:r>
      <w:r>
        <w:rPr>
          <w:rFonts w:hint="eastAsia" w:ascii="仿宋_GB2312" w:hAnsi="仿宋" w:eastAsia="仿宋_GB2312" w:cs="Times New Roman"/>
          <w:sz w:val="32"/>
          <w:szCs w:val="32"/>
          <w:lang w:val="en-US" w:eastAsia="zh-CN"/>
        </w:rPr>
        <w:t>D、</w:t>
      </w:r>
      <w:r>
        <w:rPr>
          <w:rFonts w:hint="eastAsia" w:ascii="仿宋_GB2312" w:hAnsi="仿宋" w:eastAsia="仿宋_GB2312" w:cs="Times New Roman"/>
          <w:sz w:val="32"/>
          <w:szCs w:val="32"/>
          <w:lang w:eastAsia="zh-CN"/>
        </w:rPr>
        <w:t>现代海洋；</w:t>
      </w:r>
      <w:r>
        <w:rPr>
          <w:rFonts w:hint="eastAsia" w:ascii="仿宋_GB2312" w:hAnsi="仿宋" w:eastAsia="仿宋_GB2312" w:cs="Times New Roman"/>
          <w:sz w:val="32"/>
          <w:szCs w:val="32"/>
          <w:lang w:val="en-US" w:eastAsia="zh-CN"/>
        </w:rPr>
        <w:t>E、</w:t>
      </w:r>
      <w:r>
        <w:rPr>
          <w:rFonts w:hint="eastAsia" w:ascii="仿宋_GB2312" w:hAnsi="仿宋" w:eastAsia="仿宋_GB2312" w:cs="Times New Roman"/>
          <w:sz w:val="32"/>
          <w:szCs w:val="32"/>
          <w:lang w:eastAsia="zh-CN"/>
        </w:rPr>
        <w:t>医养健康; </w:t>
      </w:r>
      <w:r>
        <w:rPr>
          <w:rFonts w:hint="eastAsia" w:ascii="仿宋_GB2312" w:hAnsi="仿宋" w:eastAsia="仿宋_GB2312" w:cs="Times New Roman"/>
          <w:sz w:val="32"/>
          <w:szCs w:val="32"/>
          <w:lang w:val="en-US" w:eastAsia="zh-CN"/>
        </w:rPr>
        <w:t>F、</w:t>
      </w:r>
      <w:r>
        <w:rPr>
          <w:rFonts w:hint="eastAsia" w:ascii="仿宋_GB2312" w:hAnsi="仿宋" w:eastAsia="仿宋_GB2312" w:cs="Times New Roman"/>
          <w:sz w:val="32"/>
          <w:szCs w:val="32"/>
          <w:lang w:eastAsia="zh-CN"/>
        </w:rPr>
        <w:t>高端化工；</w:t>
      </w:r>
      <w:r>
        <w:rPr>
          <w:rFonts w:hint="eastAsia" w:ascii="仿宋_GB2312" w:hAnsi="仿宋" w:eastAsia="仿宋_GB2312" w:cs="Times New Roman"/>
          <w:sz w:val="32"/>
          <w:szCs w:val="32"/>
          <w:lang w:val="en-US" w:eastAsia="zh-CN"/>
        </w:rPr>
        <w:t>G、</w:t>
      </w:r>
      <w:r>
        <w:rPr>
          <w:rFonts w:hint="eastAsia" w:ascii="仿宋_GB2312" w:hAnsi="仿宋" w:eastAsia="仿宋_GB2312" w:cs="Times New Roman"/>
          <w:sz w:val="32"/>
          <w:szCs w:val="32"/>
          <w:lang w:eastAsia="zh-CN"/>
        </w:rPr>
        <w:t>现代高效农业</w:t>
      </w:r>
      <w:r>
        <w:rPr>
          <w:rFonts w:hint="eastAsia" w:ascii="仿宋_GB2312" w:hAnsi="仿宋" w:eastAsia="仿宋_GB2312" w:cs="Times New Roman"/>
          <w:sz w:val="32"/>
          <w:szCs w:val="32"/>
          <w:lang w:val="en-US" w:eastAsia="zh-CN"/>
        </w:rPr>
        <w:t>H、</w:t>
      </w:r>
      <w:r>
        <w:rPr>
          <w:rFonts w:hint="eastAsia" w:ascii="仿宋_GB2312" w:hAnsi="仿宋" w:eastAsia="仿宋_GB2312" w:cs="Times New Roman"/>
          <w:sz w:val="32"/>
          <w:szCs w:val="32"/>
          <w:lang w:eastAsia="zh-CN"/>
        </w:rPr>
        <w:t>文旅产业；</w:t>
      </w:r>
      <w:r>
        <w:rPr>
          <w:rFonts w:hint="eastAsia" w:ascii="仿宋_GB2312" w:hAnsi="仿宋" w:eastAsia="仿宋_GB2312" w:cs="Times New Roman"/>
          <w:sz w:val="32"/>
          <w:szCs w:val="32"/>
          <w:lang w:val="en-US" w:eastAsia="zh-CN"/>
        </w:rPr>
        <w:t>I、</w:t>
      </w:r>
      <w:r>
        <w:rPr>
          <w:rFonts w:hint="eastAsia" w:ascii="仿宋_GB2312" w:hAnsi="仿宋" w:eastAsia="仿宋_GB2312" w:cs="Times New Roman"/>
          <w:sz w:val="32"/>
          <w:szCs w:val="32"/>
          <w:lang w:eastAsia="zh-CN"/>
        </w:rPr>
        <w:t>现代轻工纺织；</w:t>
      </w:r>
      <w:r>
        <w:rPr>
          <w:rFonts w:hint="eastAsia" w:ascii="仿宋_GB2312" w:hAnsi="仿宋" w:eastAsia="仿宋_GB2312" w:cs="Times New Roman"/>
          <w:sz w:val="32"/>
          <w:szCs w:val="32"/>
          <w:lang w:val="en-US" w:eastAsia="zh-CN"/>
        </w:rPr>
        <w:t>J、</w:t>
      </w:r>
      <w:r>
        <w:rPr>
          <w:rFonts w:hint="eastAsia" w:ascii="仿宋_GB2312" w:hAnsi="仿宋" w:eastAsia="仿宋_GB2312" w:cs="Times New Roman"/>
          <w:sz w:val="32"/>
          <w:szCs w:val="32"/>
          <w:lang w:eastAsia="zh-CN"/>
        </w:rPr>
        <w:t>现代金融服务。</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sz w:val="32"/>
          <w:szCs w:val="32"/>
        </w:rPr>
      </w:pPr>
      <w:r>
        <w:rPr>
          <w:rFonts w:hint="eastAsia" w:ascii="仿宋_GB2312" w:hAnsi="仿宋" w:eastAsia="仿宋_GB2312"/>
          <w:sz w:val="32"/>
          <w:szCs w:val="32"/>
          <w:lang w:eastAsia="zh-CN"/>
        </w:rPr>
        <w:t>六</w:t>
      </w:r>
      <w:r>
        <w:rPr>
          <w:rFonts w:hint="eastAsia" w:ascii="仿宋_GB2312" w:hAnsi="仿宋" w:eastAsia="仿宋_GB2312"/>
          <w:sz w:val="32"/>
          <w:szCs w:val="32"/>
        </w:rPr>
        <w:t>、企业信息栏：请按照要求填写或打√。</w:t>
      </w:r>
    </w:p>
    <w:p>
      <w:pPr>
        <w:keepNext w:val="0"/>
        <w:keepLines w:val="0"/>
        <w:pageBreakBefore w:val="0"/>
        <w:widowControl w:val="0"/>
        <w:kinsoku/>
        <w:wordWrap/>
        <w:overflowPunct/>
        <w:topLinePunct w:val="0"/>
        <w:autoSpaceDE/>
        <w:autoSpaceDN/>
        <w:bidi w:val="0"/>
        <w:adjustRightInd w:val="0"/>
        <w:snapToGrid/>
        <w:spacing w:line="640" w:lineRule="exact"/>
        <w:ind w:right="-87" w:firstLine="640" w:firstLineChars="200"/>
        <w:textAlignment w:val="baseline"/>
        <w:rPr>
          <w:rFonts w:ascii="仿宋_GB2312" w:hAnsi="仿宋" w:eastAsia="仿宋_GB2312"/>
          <w:color w:val="000000" w:themeColor="text1"/>
          <w:sz w:val="32"/>
          <w14:textFill>
            <w14:solidFill>
              <w14:schemeClr w14:val="tx1"/>
            </w14:solidFill>
          </w14:textFill>
        </w:rPr>
      </w:pPr>
      <w:r>
        <w:rPr>
          <w:rFonts w:hint="eastAsia" w:ascii="仿宋_GB2312" w:hAnsi="仿宋" w:eastAsia="仿宋_GB2312"/>
          <w:sz w:val="32"/>
          <w:szCs w:val="32"/>
          <w:lang w:eastAsia="zh-CN"/>
        </w:rPr>
        <w:t>七</w:t>
      </w:r>
      <w:r>
        <w:rPr>
          <w:rFonts w:hint="eastAsia" w:ascii="仿宋_GB2312" w:hAnsi="仿宋" w:eastAsia="仿宋_GB2312"/>
          <w:sz w:val="32"/>
          <w:szCs w:val="32"/>
        </w:rPr>
        <w:t>、所有填报栏目一定要完整，资料要仔细核对，保证名称及数据的准确性，并请签字、盖章。</w:t>
      </w:r>
    </w:p>
    <w:p>
      <w:pPr>
        <w:keepNext w:val="0"/>
        <w:keepLines w:val="0"/>
        <w:pageBreakBefore w:val="0"/>
        <w:widowControl w:val="0"/>
        <w:kinsoku/>
        <w:wordWrap/>
        <w:overflowPunct/>
        <w:topLinePunct w:val="0"/>
        <w:autoSpaceDE/>
        <w:autoSpaceDN/>
        <w:bidi w:val="0"/>
        <w:adjustRightInd w:val="0"/>
        <w:snapToGrid/>
        <w:spacing w:line="640" w:lineRule="exact"/>
        <w:ind w:right="-87" w:firstLine="400" w:firstLineChars="200"/>
        <w:textAlignment w:val="baseline"/>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5656D7"/>
    <w:multiLevelType w:val="singleLevel"/>
    <w:tmpl w:val="395656D7"/>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xOWUxNjYxYmRkNWYwNDk0YWNhMDA1YTYxOWExNDkifQ=="/>
  </w:docVars>
  <w:rsids>
    <w:rsidRoot w:val="00000000"/>
    <w:rsid w:val="790B4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栾</cp:lastModifiedBy>
  <dcterms:modified xsi:type="dcterms:W3CDTF">2023-04-04T07:34:49Z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B850D1D9C5D04AEA8CD8A1E0AE50C312_12</vt:lpwstr>
  </property>
</Properties>
</file>